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F09" w:rsidRDefault="00821F09" w:rsidP="00404BB1">
      <w:pPr>
        <w:rPr>
          <w:b/>
        </w:rPr>
      </w:pPr>
    </w:p>
    <w:p w:rsidR="006413F5" w:rsidRPr="00404BB1" w:rsidRDefault="00844EB2" w:rsidP="00404BB1">
      <w:pPr>
        <w:rPr>
          <w:b/>
        </w:rPr>
      </w:pPr>
      <w:r w:rsidRPr="00404BB1">
        <w:rPr>
          <w:b/>
        </w:rPr>
        <w:t>Real Estate</w:t>
      </w:r>
    </w:p>
    <w:p w:rsidR="00404BB1" w:rsidRDefault="00404BB1" w:rsidP="00404BB1"/>
    <w:p w:rsidR="00404BB1" w:rsidRDefault="00404BB1" w:rsidP="00404BB1"/>
    <w:p w:rsidR="00821F09" w:rsidRDefault="00821F09" w:rsidP="00404BB1"/>
    <w:p w:rsidR="00821F09" w:rsidRDefault="00821F09" w:rsidP="00404BB1"/>
    <w:p w:rsidR="00821F09" w:rsidRDefault="00821F09" w:rsidP="00404BB1"/>
    <w:p w:rsidR="00404BB1" w:rsidRDefault="00844EB2" w:rsidP="00404BB1">
      <w:r>
        <w:t>Name</w:t>
      </w:r>
    </w:p>
    <w:p w:rsidR="00404BB1" w:rsidRDefault="00844EB2" w:rsidP="00404BB1">
      <w:r>
        <w:t>Institution of Affiliation</w:t>
      </w:r>
    </w:p>
    <w:p w:rsidR="00821F09" w:rsidRDefault="00821F09" w:rsidP="00404BB1">
      <w:r>
        <w:t xml:space="preserve">Professor </w:t>
      </w:r>
    </w:p>
    <w:p w:rsidR="00404BB1" w:rsidRDefault="00844EB2" w:rsidP="00404BB1">
      <w:r>
        <w:t>Date</w:t>
      </w:r>
    </w:p>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404BB1" w:rsidRDefault="00404BB1" w:rsidP="00404BB1"/>
    <w:p w:rsidR="00821F09" w:rsidRDefault="00821F09" w:rsidP="00404BB1"/>
    <w:p w:rsidR="00821F09" w:rsidRDefault="00821F09" w:rsidP="00404BB1"/>
    <w:p w:rsidR="00404BB1" w:rsidRDefault="00404BB1" w:rsidP="00404BB1"/>
    <w:p w:rsidR="00404BB1" w:rsidRPr="006413F5" w:rsidRDefault="00844EB2" w:rsidP="00404BB1">
      <w:pPr>
        <w:rPr>
          <w:b/>
        </w:rPr>
      </w:pPr>
      <w:r w:rsidRPr="006413F5">
        <w:rPr>
          <w:b/>
        </w:rPr>
        <w:lastRenderedPageBreak/>
        <w:t>Real Estate</w:t>
      </w:r>
    </w:p>
    <w:p w:rsidR="00404BB1" w:rsidRDefault="00844EB2" w:rsidP="00821F09">
      <w:pPr>
        <w:ind w:firstLine="644"/>
        <w:jc w:val="left"/>
      </w:pPr>
      <w:r>
        <w:t>Public Housing is one of the oldest block gran</w:t>
      </w:r>
      <w:r w:rsidR="00DE7C95">
        <w:t>t programs in the United States. In this program,</w:t>
      </w:r>
      <w:r>
        <w:t xml:space="preserve"> the house units are owned and supervised by the government</w:t>
      </w:r>
      <w:r w:rsidR="00DE7C95">
        <w:t>. The</w:t>
      </w:r>
      <w:r>
        <w:t xml:space="preserve"> history</w:t>
      </w:r>
      <w:r w:rsidR="00DE7C95">
        <w:t xml:space="preserve"> of public housing</w:t>
      </w:r>
      <w:r>
        <w:t xml:space="preserve"> dates back to 1937, where the Housing Act was enacted during the great depression</w:t>
      </w:r>
      <w:r w:rsidR="00903630">
        <w:t xml:space="preserve"> (</w:t>
      </w:r>
      <w:r w:rsidR="00903630" w:rsidRPr="003C0741">
        <w:t>Kim</w:t>
      </w:r>
      <w:r w:rsidR="00903630">
        <w:t xml:space="preserve"> et al., 2020)</w:t>
      </w:r>
      <w:r>
        <w:t>. Families with an i</w:t>
      </w:r>
      <w:r w:rsidR="00F74506">
        <w:t>ncome within a specific bracket</w:t>
      </w:r>
      <w:r>
        <w:t xml:space="preserve"> are eligible</w:t>
      </w:r>
      <w:r w:rsidR="00F74506">
        <w:t xml:space="preserve"> to benefit from the</w:t>
      </w:r>
      <w:r>
        <w:t xml:space="preserve"> program. 30% of the participant's in</w:t>
      </w:r>
      <w:r w:rsidR="003C0741">
        <w:t>come is charged as the housing project</w:t>
      </w:r>
      <w:r>
        <w:t xml:space="preserve"> re</w:t>
      </w:r>
      <w:r w:rsidR="003C0741">
        <w:t xml:space="preserve">nt. </w:t>
      </w:r>
      <w:r w:rsidR="00F74506">
        <w:t>S</w:t>
      </w:r>
      <w:r w:rsidR="00373691">
        <w:t>everal risk factors are associated with public housing projects</w:t>
      </w:r>
    </w:p>
    <w:p w:rsidR="006413F5" w:rsidRDefault="00844EB2" w:rsidP="00821F09">
      <w:pPr>
        <w:ind w:firstLine="644"/>
        <w:jc w:val="left"/>
      </w:pPr>
      <w:r>
        <w:t xml:space="preserve">The risk of selecting and buying decent housing that can be put on sale for buyers at an affordable price is enormous. Acquiring such properties is a risky venture, primarily if proper research is not conducted prior. Feasible study of the property ought to be undertaken to minimize the risk of financial loss. </w:t>
      </w:r>
    </w:p>
    <w:p w:rsidR="006413F5" w:rsidRDefault="00844EB2" w:rsidP="00821F09">
      <w:pPr>
        <w:ind w:firstLine="644"/>
        <w:jc w:val="both"/>
      </w:pPr>
      <w:r>
        <w:t>The risk of financial mismanagement must be carefully considered when undertaking public housing project. Secure record-keeping and finances are critical in minimizing development risks, especially those relating to cash flow and estimated budgets.</w:t>
      </w:r>
    </w:p>
    <w:p w:rsidR="00821F09" w:rsidRDefault="00844EB2" w:rsidP="00821F09">
      <w:pPr>
        <w:ind w:firstLine="644"/>
        <w:jc w:val="left"/>
      </w:pPr>
      <w:r>
        <w:t xml:space="preserve">Public housing projects usually operate within a strained budget. As such, they face the risk of working with a weak team. The success of the housing project requires a team of reliable contractors, qualified architects, and experienced staff. The recruitment process should be extensive so that only the highly skilled </w:t>
      </w:r>
      <w:r w:rsidR="00DE7C95">
        <w:t>are</w:t>
      </w:r>
      <w:r>
        <w:t xml:space="preserve"> selected.</w:t>
      </w:r>
    </w:p>
    <w:p w:rsidR="00821F09" w:rsidRDefault="00844EB2" w:rsidP="00821F09">
      <w:pPr>
        <w:ind w:firstLine="644"/>
        <w:jc w:val="left"/>
      </w:pPr>
      <w:r>
        <w:t>Future disputes are a risk that a public housing developer faces</w:t>
      </w:r>
      <w:r w:rsidR="003C0741">
        <w:t xml:space="preserve"> (</w:t>
      </w:r>
      <w:r w:rsidR="003C0741" w:rsidRPr="003C0741">
        <w:t>Kim</w:t>
      </w:r>
      <w:r w:rsidR="003C0741">
        <w:t xml:space="preserve"> et al, 2020)</w:t>
      </w:r>
      <w:r>
        <w:t>. Minimizing this risk requires proper utilization of accurate drawings, construction specifications, and project designs. An adequate understanding of the local procedures is vital in reducing the challenges of the future.</w:t>
      </w:r>
    </w:p>
    <w:p w:rsidR="00821F09" w:rsidRDefault="00844EB2" w:rsidP="00821F09">
      <w:pPr>
        <w:ind w:firstLine="644"/>
        <w:jc w:val="left"/>
      </w:pPr>
      <w:r>
        <w:t>The balance between risk and cost of the project is tricky for the production manager. Tracking of the project progress, monitoring of the budget, cash flow, anticipating problems, and having solutions are vital for the success of the project.</w:t>
      </w:r>
    </w:p>
    <w:p w:rsidR="00821F09" w:rsidRDefault="00844EB2" w:rsidP="00821F09">
      <w:pPr>
        <w:ind w:firstLine="644"/>
        <w:jc w:val="left"/>
      </w:pPr>
      <w:r>
        <w:lastRenderedPageBreak/>
        <w:t xml:space="preserve">The risk of delivering housing projects within the scheduled time is excellent. Since owners contribute to </w:t>
      </w:r>
      <w:r w:rsidR="00DE7C95">
        <w:t>these houses</w:t>
      </w:r>
      <w:r>
        <w:t xml:space="preserve"> before moving in, </w:t>
      </w:r>
      <w:r w:rsidR="00DE7C95">
        <w:t>the homes must be completed</w:t>
      </w:r>
      <w:r>
        <w:t xml:space="preserve"> within time</w:t>
      </w:r>
      <w:r w:rsidR="00DE7C95">
        <w:t>.</w:t>
      </w:r>
    </w:p>
    <w:p w:rsidR="00DE7C95" w:rsidRDefault="00844EB2" w:rsidP="00821F09">
      <w:pPr>
        <w:ind w:firstLine="644"/>
        <w:jc w:val="left"/>
      </w:pPr>
      <w:r>
        <w:t>The risk of operations and maintenance costs usually happens long after the completion of the project. At this time, tenants have moved in, and the discomfort in a poorly finished house is untold. For contractors to minimize this risk, it is recommended that the supervisor of the project invests in good quality material. Additionally, a one-year contract post-delivery should be included for repairs.</w:t>
      </w:r>
    </w:p>
    <w:p w:rsidR="00821F09" w:rsidRDefault="00844EB2" w:rsidP="00E50728">
      <w:pPr>
        <w:ind w:firstLine="644"/>
        <w:jc w:val="left"/>
      </w:pPr>
      <w:r>
        <w:t>Whereas there are many risks associated with public housing, the rewards outweigh the risks.</w:t>
      </w:r>
      <w:r w:rsidR="00E50728">
        <w:t xml:space="preserve"> </w:t>
      </w:r>
      <w:bookmarkStart w:id="0" w:name="_GoBack"/>
      <w:bookmarkEnd w:id="0"/>
      <w:r>
        <w:t>Public housing supports low wage workers and also assists the local industry. Average wage earners in our local industry are not in a position to afford decent accommodation and regular meals. The rental subsidy of affordable public housing gives fair housing to over 1 million households. The rental income collected goes back into the economy by supporting the local industry.</w:t>
      </w:r>
    </w:p>
    <w:p w:rsidR="00821F09" w:rsidRDefault="00844EB2" w:rsidP="00821F09">
      <w:pPr>
        <w:ind w:firstLine="644"/>
        <w:jc w:val="left"/>
      </w:pPr>
      <w:r>
        <w:t xml:space="preserve">The investment in public housing projects is a direct investment to the local and the national economy. Additionally, the </w:t>
      </w:r>
      <w:r w:rsidR="00225D6B">
        <w:t>plans offer job opportunities to low-income workers. Employment provides a direct subsidy to the local economy, which in turn affects the regional economy.</w:t>
      </w:r>
    </w:p>
    <w:p w:rsidR="00821F09" w:rsidRDefault="00844EB2" w:rsidP="00821F09">
      <w:pPr>
        <w:ind w:firstLine="644"/>
        <w:jc w:val="left"/>
      </w:pPr>
      <w:r>
        <w:t>The social asset created by a public housing project is not sustainable by the private market. The cost of maintaining public housing is relatively affordable compared to the cost of constructing new private housing. The individual market would require a significant amount of investment in maintaining open houses. While this could be possible, it is not guaranteed immediate generated revenue because of the increase in rent and other related costs.</w:t>
      </w:r>
    </w:p>
    <w:p w:rsidR="00821F09" w:rsidRDefault="00844EB2" w:rsidP="00821F09">
      <w:pPr>
        <w:ind w:firstLine="644"/>
        <w:jc w:val="left"/>
      </w:pPr>
      <w:r>
        <w:lastRenderedPageBreak/>
        <w:t>High-quality, affordable housing has excellent health benefits to families and children in particular. Research shows a correlation between proper child development and affordable quality houses. Chi</w:t>
      </w:r>
      <w:r w:rsidR="003C0741">
        <w:t>ldren growing up in these homes</w:t>
      </w:r>
      <w:r>
        <w:t xml:space="preserve"> have fewer health problems and</w:t>
      </w:r>
      <w:r w:rsidR="00492F5E">
        <w:t xml:space="preserve"> a higher quality of life than those growing in low-quality homes. The well planned and safe houses give mental, physical, and emotional stability to children. </w:t>
      </w:r>
    </w:p>
    <w:p w:rsidR="00821F09" w:rsidRDefault="00844EB2" w:rsidP="00821F09">
      <w:pPr>
        <w:ind w:firstLine="644"/>
        <w:jc w:val="left"/>
      </w:pPr>
      <w:r>
        <w:t>Affordable housing has an overall excellent health outcome for the community. Research shows families that are unable to afford rent spend a lot of time looking for it and thus neglect immediate needs. Such families have reduced healthcare-seeking habits and fail to plan for nutritious meals. The neglect of this vital duties means that children do not develop as they should. Children thus fail to reach their milestones within the required time. The inability to seek health treatments immediately predisposes them to life-threatening conditions, which could have been averted</w:t>
      </w:r>
      <w:r w:rsidR="003C0741">
        <w:t xml:space="preserve"> (</w:t>
      </w:r>
      <w:proofErr w:type="spellStart"/>
      <w:r w:rsidR="003C0741" w:rsidRPr="003C0741">
        <w:t>Verma</w:t>
      </w:r>
      <w:proofErr w:type="spellEnd"/>
      <w:r w:rsidR="003C0741">
        <w:t xml:space="preserve"> et al</w:t>
      </w:r>
      <w:r w:rsidR="00821F09">
        <w:t>.</w:t>
      </w:r>
      <w:r w:rsidR="003C0741">
        <w:t>, 2017)</w:t>
      </w:r>
      <w:r>
        <w:t>.</w:t>
      </w:r>
    </w:p>
    <w:p w:rsidR="00821F09" w:rsidRDefault="00844EB2" w:rsidP="00821F09">
      <w:pPr>
        <w:ind w:firstLine="644"/>
        <w:jc w:val="left"/>
      </w:pPr>
      <w:r>
        <w:t xml:space="preserve">Affordable housing minimizes the risk of mental health and related conditions. Children who grow up homeless or in poor housing conditions are at a higher risk of suffering from depression and feelings of hopelessness. The stress </w:t>
      </w:r>
      <w:r w:rsidR="00EB49C3">
        <w:t>levels predispose</w:t>
      </w:r>
      <w:r>
        <w:t xml:space="preserve"> such as children to lifelong health complications. </w:t>
      </w:r>
    </w:p>
    <w:p w:rsidR="00492F5E" w:rsidRDefault="00844EB2" w:rsidP="00821F09">
      <w:pPr>
        <w:ind w:firstLine="644"/>
        <w:jc w:val="left"/>
      </w:pPr>
      <w:r>
        <w:t xml:space="preserve">Better and affordable housing </w:t>
      </w:r>
      <w:r w:rsidR="00EB49C3">
        <w:t>translates</w:t>
      </w:r>
      <w:r>
        <w:t xml:space="preserve"> to a healthier community. With an increase in environmental pollution, </w:t>
      </w:r>
      <w:r w:rsidR="00EB49C3">
        <w:t>affordable housing minimizes further damage. People living in poor housing conditions are exposed to allergens and toxins, such as lead paints</w:t>
      </w:r>
      <w:r w:rsidR="00903630">
        <w:t xml:space="preserve"> </w:t>
      </w:r>
      <w:r w:rsidR="00903630">
        <w:t>(</w:t>
      </w:r>
      <w:proofErr w:type="spellStart"/>
      <w:r w:rsidR="00903630" w:rsidRPr="003C0741">
        <w:t>Verma</w:t>
      </w:r>
      <w:proofErr w:type="spellEnd"/>
      <w:r w:rsidR="00903630">
        <w:t xml:space="preserve"> et al., 2017)</w:t>
      </w:r>
      <w:r w:rsidR="00EB49C3">
        <w:t>. In addition to endangering individuals to poor health-related conditions, the environment is also at risk of waste disposal. Affordable housing provides a proper way of waste management.</w:t>
      </w:r>
    </w:p>
    <w:p w:rsidR="003C0741" w:rsidRDefault="003C0741" w:rsidP="003C0741"/>
    <w:p w:rsidR="00821F09" w:rsidRDefault="00821F09" w:rsidP="004767C7">
      <w:pPr>
        <w:jc w:val="both"/>
      </w:pPr>
    </w:p>
    <w:p w:rsidR="004767C7" w:rsidRDefault="004767C7" w:rsidP="004767C7">
      <w:pPr>
        <w:jc w:val="both"/>
      </w:pPr>
    </w:p>
    <w:p w:rsidR="003C0741" w:rsidRPr="003C0741" w:rsidRDefault="003C0741" w:rsidP="003C0741">
      <w:pPr>
        <w:rPr>
          <w:b/>
        </w:rPr>
      </w:pPr>
      <w:r w:rsidRPr="003C0741">
        <w:rPr>
          <w:b/>
        </w:rPr>
        <w:lastRenderedPageBreak/>
        <w:t>References</w:t>
      </w:r>
    </w:p>
    <w:p w:rsidR="003C0741" w:rsidRDefault="003C0741" w:rsidP="00821F09">
      <w:pPr>
        <w:ind w:left="720" w:hanging="720"/>
        <w:jc w:val="left"/>
      </w:pPr>
      <w:proofErr w:type="gramStart"/>
      <w:r w:rsidRPr="003C0741">
        <w:t>Kim, B., Merlo, A. V., Park, J., &amp; Hong, Y. O. (2020).</w:t>
      </w:r>
      <w:proofErr w:type="gramEnd"/>
      <w:r w:rsidRPr="003C0741">
        <w:t xml:space="preserve"> A systematic review of public housing, poverty (de) concentration, and risk </w:t>
      </w:r>
      <w:proofErr w:type="spellStart"/>
      <w:r w:rsidRPr="003C0741">
        <w:t>behaviors</w:t>
      </w:r>
      <w:proofErr w:type="spellEnd"/>
      <w:r w:rsidRPr="003C0741">
        <w:t>: what about youth</w:t>
      </w:r>
      <w:proofErr w:type="gramStart"/>
      <w:r w:rsidRPr="003C0741">
        <w:t>?.</w:t>
      </w:r>
      <w:proofErr w:type="gramEnd"/>
      <w:r w:rsidRPr="003C0741">
        <w:t> </w:t>
      </w:r>
      <w:proofErr w:type="gramStart"/>
      <w:r w:rsidRPr="003C0741">
        <w:rPr>
          <w:i/>
          <w:iCs/>
        </w:rPr>
        <w:t>Trauma, Violence, &amp; Abuse</w:t>
      </w:r>
      <w:r w:rsidRPr="003C0741">
        <w:t>, 1524838020927495.</w:t>
      </w:r>
      <w:proofErr w:type="gramEnd"/>
    </w:p>
    <w:p w:rsidR="003C0741" w:rsidRPr="003C0741" w:rsidRDefault="003C0741" w:rsidP="00821F09">
      <w:pPr>
        <w:ind w:left="720" w:hanging="720"/>
        <w:jc w:val="left"/>
      </w:pPr>
      <w:proofErr w:type="spellStart"/>
      <w:proofErr w:type="gramStart"/>
      <w:r w:rsidRPr="003C0741">
        <w:t>Verma</w:t>
      </w:r>
      <w:proofErr w:type="spellEnd"/>
      <w:r w:rsidRPr="003C0741">
        <w:t xml:space="preserve">, N., Yang, E., </w:t>
      </w:r>
      <w:proofErr w:type="spellStart"/>
      <w:r w:rsidRPr="003C0741">
        <w:t>Nuñez</w:t>
      </w:r>
      <w:proofErr w:type="spellEnd"/>
      <w:r w:rsidRPr="003C0741">
        <w:t>, S., &amp; Long, D. (2017).</w:t>
      </w:r>
      <w:proofErr w:type="gramEnd"/>
      <w:r w:rsidRPr="003C0741">
        <w:t xml:space="preserve"> Learning from the work rewards demonstration: Final results from the Family Self-Sufficiency study in New York City. </w:t>
      </w:r>
      <w:r w:rsidRPr="003C0741">
        <w:rPr>
          <w:i/>
          <w:iCs/>
        </w:rPr>
        <w:t>New York: MDRC, September</w:t>
      </w:r>
      <w:r w:rsidRPr="003C0741">
        <w:t>.</w:t>
      </w:r>
    </w:p>
    <w:sectPr w:rsidR="003C0741" w:rsidRPr="003C0741" w:rsidSect="005B34C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7E3" w:rsidRDefault="00CB67E3" w:rsidP="00AC32AA">
      <w:pPr>
        <w:spacing w:line="240" w:lineRule="auto"/>
      </w:pPr>
      <w:r>
        <w:separator/>
      </w:r>
    </w:p>
  </w:endnote>
  <w:endnote w:type="continuationSeparator" w:id="0">
    <w:p w:rsidR="00CB67E3" w:rsidRDefault="00CB67E3" w:rsidP="00AC32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7E3" w:rsidRDefault="00CB67E3" w:rsidP="00AC32AA">
      <w:pPr>
        <w:spacing w:line="240" w:lineRule="auto"/>
      </w:pPr>
      <w:r>
        <w:separator/>
      </w:r>
    </w:p>
  </w:footnote>
  <w:footnote w:type="continuationSeparator" w:id="0">
    <w:p w:rsidR="00CB67E3" w:rsidRDefault="00CB67E3" w:rsidP="00AC32A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9499407"/>
      <w:docPartObj>
        <w:docPartGallery w:val="Page Numbers (Top of Page)"/>
        <w:docPartUnique/>
      </w:docPartObj>
    </w:sdtPr>
    <w:sdtEndPr>
      <w:rPr>
        <w:noProof/>
      </w:rPr>
    </w:sdtEndPr>
    <w:sdtContent>
      <w:p w:rsidR="005B34C7" w:rsidRDefault="005B34C7">
        <w:pPr>
          <w:pStyle w:val="Header"/>
          <w:jc w:val="right"/>
        </w:pPr>
        <w:r>
          <w:fldChar w:fldCharType="begin"/>
        </w:r>
        <w:r>
          <w:instrText xml:space="preserve"> PAGE   \* MERGEFORMAT </w:instrText>
        </w:r>
        <w:r>
          <w:fldChar w:fldCharType="separate"/>
        </w:r>
        <w:r w:rsidR="00E50728">
          <w:rPr>
            <w:noProof/>
          </w:rPr>
          <w:t>1</w:t>
        </w:r>
        <w:r>
          <w:rPr>
            <w:noProof/>
          </w:rPr>
          <w:fldChar w:fldCharType="end"/>
        </w:r>
      </w:p>
    </w:sdtContent>
  </w:sdt>
  <w:p w:rsidR="00492F5E" w:rsidRDefault="00492F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838633"/>
      <w:docPartObj>
        <w:docPartGallery w:val="Page Numbers (Top of Page)"/>
        <w:docPartUnique/>
      </w:docPartObj>
    </w:sdtPr>
    <w:sdtEndPr>
      <w:rPr>
        <w:noProof/>
      </w:rPr>
    </w:sdtEndPr>
    <w:sdtContent>
      <w:p w:rsidR="00821F09" w:rsidRDefault="00821F09">
        <w:pPr>
          <w:pStyle w:val="Header"/>
          <w:jc w:val="right"/>
        </w:pPr>
        <w:r>
          <w:fldChar w:fldCharType="begin"/>
        </w:r>
        <w:r>
          <w:instrText xml:space="preserve"> PAGE   \* MERGEFORMAT </w:instrText>
        </w:r>
        <w:r>
          <w:fldChar w:fldCharType="separate"/>
        </w:r>
        <w:r w:rsidR="005B34C7">
          <w:rPr>
            <w:noProof/>
          </w:rPr>
          <w:t>1</w:t>
        </w:r>
        <w:r>
          <w:rPr>
            <w:noProof/>
          </w:rPr>
          <w:fldChar w:fldCharType="end"/>
        </w:r>
      </w:p>
    </w:sdtContent>
  </w:sdt>
  <w:p w:rsidR="00821F09" w:rsidRDefault="00821F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046451"/>
    <w:multiLevelType w:val="hybridMultilevel"/>
    <w:tmpl w:val="6C324D64"/>
    <w:lvl w:ilvl="0" w:tplc="E50A2D62">
      <w:start w:val="1"/>
      <w:numFmt w:val="bullet"/>
      <w:lvlText w:val=""/>
      <w:lvlJc w:val="left"/>
      <w:pPr>
        <w:ind w:left="1004" w:hanging="360"/>
      </w:pPr>
      <w:rPr>
        <w:rFonts w:ascii="Symbol" w:hAnsi="Symbol" w:hint="default"/>
      </w:rPr>
    </w:lvl>
    <w:lvl w:ilvl="1" w:tplc="939AE322" w:tentative="1">
      <w:start w:val="1"/>
      <w:numFmt w:val="bullet"/>
      <w:lvlText w:val="o"/>
      <w:lvlJc w:val="left"/>
      <w:pPr>
        <w:ind w:left="1724" w:hanging="360"/>
      </w:pPr>
      <w:rPr>
        <w:rFonts w:ascii="Courier New" w:hAnsi="Courier New" w:cs="Courier New" w:hint="default"/>
      </w:rPr>
    </w:lvl>
    <w:lvl w:ilvl="2" w:tplc="1974F95A" w:tentative="1">
      <w:start w:val="1"/>
      <w:numFmt w:val="bullet"/>
      <w:lvlText w:val=""/>
      <w:lvlJc w:val="left"/>
      <w:pPr>
        <w:ind w:left="2444" w:hanging="360"/>
      </w:pPr>
      <w:rPr>
        <w:rFonts w:ascii="Wingdings" w:hAnsi="Wingdings" w:hint="default"/>
      </w:rPr>
    </w:lvl>
    <w:lvl w:ilvl="3" w:tplc="ADFE7B40" w:tentative="1">
      <w:start w:val="1"/>
      <w:numFmt w:val="bullet"/>
      <w:lvlText w:val=""/>
      <w:lvlJc w:val="left"/>
      <w:pPr>
        <w:ind w:left="3164" w:hanging="360"/>
      </w:pPr>
      <w:rPr>
        <w:rFonts w:ascii="Symbol" w:hAnsi="Symbol" w:hint="default"/>
      </w:rPr>
    </w:lvl>
    <w:lvl w:ilvl="4" w:tplc="C9067C0A" w:tentative="1">
      <w:start w:val="1"/>
      <w:numFmt w:val="bullet"/>
      <w:lvlText w:val="o"/>
      <w:lvlJc w:val="left"/>
      <w:pPr>
        <w:ind w:left="3884" w:hanging="360"/>
      </w:pPr>
      <w:rPr>
        <w:rFonts w:ascii="Courier New" w:hAnsi="Courier New" w:cs="Courier New" w:hint="default"/>
      </w:rPr>
    </w:lvl>
    <w:lvl w:ilvl="5" w:tplc="23CA4728" w:tentative="1">
      <w:start w:val="1"/>
      <w:numFmt w:val="bullet"/>
      <w:lvlText w:val=""/>
      <w:lvlJc w:val="left"/>
      <w:pPr>
        <w:ind w:left="4604" w:hanging="360"/>
      </w:pPr>
      <w:rPr>
        <w:rFonts w:ascii="Wingdings" w:hAnsi="Wingdings" w:hint="default"/>
      </w:rPr>
    </w:lvl>
    <w:lvl w:ilvl="6" w:tplc="2A426926" w:tentative="1">
      <w:start w:val="1"/>
      <w:numFmt w:val="bullet"/>
      <w:lvlText w:val=""/>
      <w:lvlJc w:val="left"/>
      <w:pPr>
        <w:ind w:left="5324" w:hanging="360"/>
      </w:pPr>
      <w:rPr>
        <w:rFonts w:ascii="Symbol" w:hAnsi="Symbol" w:hint="default"/>
      </w:rPr>
    </w:lvl>
    <w:lvl w:ilvl="7" w:tplc="2C9E0A68" w:tentative="1">
      <w:start w:val="1"/>
      <w:numFmt w:val="bullet"/>
      <w:lvlText w:val="o"/>
      <w:lvlJc w:val="left"/>
      <w:pPr>
        <w:ind w:left="6044" w:hanging="360"/>
      </w:pPr>
      <w:rPr>
        <w:rFonts w:ascii="Courier New" w:hAnsi="Courier New" w:cs="Courier New" w:hint="default"/>
      </w:rPr>
    </w:lvl>
    <w:lvl w:ilvl="8" w:tplc="A42A735E" w:tentative="1">
      <w:start w:val="1"/>
      <w:numFmt w:val="bullet"/>
      <w:lvlText w:val=""/>
      <w:lvlJc w:val="left"/>
      <w:pPr>
        <w:ind w:left="6764" w:hanging="360"/>
      </w:pPr>
      <w:rPr>
        <w:rFonts w:ascii="Wingdings" w:hAnsi="Wingdings" w:hint="default"/>
      </w:rPr>
    </w:lvl>
  </w:abstractNum>
  <w:abstractNum w:abstractNumId="1">
    <w:nsid w:val="7A30589B"/>
    <w:multiLevelType w:val="hybridMultilevel"/>
    <w:tmpl w:val="FA80BAF6"/>
    <w:lvl w:ilvl="0" w:tplc="DF1258BE">
      <w:start w:val="1"/>
      <w:numFmt w:val="bullet"/>
      <w:lvlText w:val=""/>
      <w:lvlJc w:val="left"/>
      <w:pPr>
        <w:ind w:left="1004" w:hanging="360"/>
      </w:pPr>
      <w:rPr>
        <w:rFonts w:ascii="Wingdings" w:hAnsi="Wingdings" w:hint="default"/>
      </w:rPr>
    </w:lvl>
    <w:lvl w:ilvl="1" w:tplc="F0F817BE" w:tentative="1">
      <w:start w:val="1"/>
      <w:numFmt w:val="bullet"/>
      <w:lvlText w:val="o"/>
      <w:lvlJc w:val="left"/>
      <w:pPr>
        <w:ind w:left="1724" w:hanging="360"/>
      </w:pPr>
      <w:rPr>
        <w:rFonts w:ascii="Courier New" w:hAnsi="Courier New" w:cs="Courier New" w:hint="default"/>
      </w:rPr>
    </w:lvl>
    <w:lvl w:ilvl="2" w:tplc="53741156" w:tentative="1">
      <w:start w:val="1"/>
      <w:numFmt w:val="bullet"/>
      <w:lvlText w:val=""/>
      <w:lvlJc w:val="left"/>
      <w:pPr>
        <w:ind w:left="2444" w:hanging="360"/>
      </w:pPr>
      <w:rPr>
        <w:rFonts w:ascii="Wingdings" w:hAnsi="Wingdings" w:hint="default"/>
      </w:rPr>
    </w:lvl>
    <w:lvl w:ilvl="3" w:tplc="7262752A" w:tentative="1">
      <w:start w:val="1"/>
      <w:numFmt w:val="bullet"/>
      <w:lvlText w:val=""/>
      <w:lvlJc w:val="left"/>
      <w:pPr>
        <w:ind w:left="3164" w:hanging="360"/>
      </w:pPr>
      <w:rPr>
        <w:rFonts w:ascii="Symbol" w:hAnsi="Symbol" w:hint="default"/>
      </w:rPr>
    </w:lvl>
    <w:lvl w:ilvl="4" w:tplc="558EA900" w:tentative="1">
      <w:start w:val="1"/>
      <w:numFmt w:val="bullet"/>
      <w:lvlText w:val="o"/>
      <w:lvlJc w:val="left"/>
      <w:pPr>
        <w:ind w:left="3884" w:hanging="360"/>
      </w:pPr>
      <w:rPr>
        <w:rFonts w:ascii="Courier New" w:hAnsi="Courier New" w:cs="Courier New" w:hint="default"/>
      </w:rPr>
    </w:lvl>
    <w:lvl w:ilvl="5" w:tplc="00228BA4" w:tentative="1">
      <w:start w:val="1"/>
      <w:numFmt w:val="bullet"/>
      <w:lvlText w:val=""/>
      <w:lvlJc w:val="left"/>
      <w:pPr>
        <w:ind w:left="4604" w:hanging="360"/>
      </w:pPr>
      <w:rPr>
        <w:rFonts w:ascii="Wingdings" w:hAnsi="Wingdings" w:hint="default"/>
      </w:rPr>
    </w:lvl>
    <w:lvl w:ilvl="6" w:tplc="8EDE56D6" w:tentative="1">
      <w:start w:val="1"/>
      <w:numFmt w:val="bullet"/>
      <w:lvlText w:val=""/>
      <w:lvlJc w:val="left"/>
      <w:pPr>
        <w:ind w:left="5324" w:hanging="360"/>
      </w:pPr>
      <w:rPr>
        <w:rFonts w:ascii="Symbol" w:hAnsi="Symbol" w:hint="default"/>
      </w:rPr>
    </w:lvl>
    <w:lvl w:ilvl="7" w:tplc="BF302DCC" w:tentative="1">
      <w:start w:val="1"/>
      <w:numFmt w:val="bullet"/>
      <w:lvlText w:val="o"/>
      <w:lvlJc w:val="left"/>
      <w:pPr>
        <w:ind w:left="6044" w:hanging="360"/>
      </w:pPr>
      <w:rPr>
        <w:rFonts w:ascii="Courier New" w:hAnsi="Courier New" w:cs="Courier New" w:hint="default"/>
      </w:rPr>
    </w:lvl>
    <w:lvl w:ilvl="8" w:tplc="4D46D10E" w:tentative="1">
      <w:start w:val="1"/>
      <w:numFmt w:val="bullet"/>
      <w:lvlText w:val=""/>
      <w:lvlJc w:val="left"/>
      <w:pPr>
        <w:ind w:left="6764"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04BB1"/>
    <w:rsid w:val="0012631A"/>
    <w:rsid w:val="00225D6B"/>
    <w:rsid w:val="0024185D"/>
    <w:rsid w:val="00373691"/>
    <w:rsid w:val="003C0741"/>
    <w:rsid w:val="00404BB1"/>
    <w:rsid w:val="0047215C"/>
    <w:rsid w:val="004767C7"/>
    <w:rsid w:val="00492F5E"/>
    <w:rsid w:val="00493C93"/>
    <w:rsid w:val="005B34C7"/>
    <w:rsid w:val="006413F5"/>
    <w:rsid w:val="00741D9C"/>
    <w:rsid w:val="007D6E7F"/>
    <w:rsid w:val="00810E19"/>
    <w:rsid w:val="00821F09"/>
    <w:rsid w:val="00844EB2"/>
    <w:rsid w:val="00903630"/>
    <w:rsid w:val="00A257B6"/>
    <w:rsid w:val="00AC32AA"/>
    <w:rsid w:val="00CB67E3"/>
    <w:rsid w:val="00DE7C95"/>
    <w:rsid w:val="00E50728"/>
    <w:rsid w:val="00EA018C"/>
    <w:rsid w:val="00EB49C3"/>
    <w:rsid w:val="00F74506"/>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BB1"/>
    <w:pPr>
      <w:tabs>
        <w:tab w:val="center" w:pos="4513"/>
        <w:tab w:val="right" w:pos="9026"/>
      </w:tabs>
      <w:spacing w:line="240" w:lineRule="auto"/>
    </w:pPr>
  </w:style>
  <w:style w:type="character" w:customStyle="1" w:styleId="HeaderChar">
    <w:name w:val="Header Char"/>
    <w:basedOn w:val="DefaultParagraphFont"/>
    <w:link w:val="Header"/>
    <w:uiPriority w:val="99"/>
    <w:rsid w:val="00404BB1"/>
    <w:rPr>
      <w:lang w:val="en-US"/>
    </w:rPr>
  </w:style>
  <w:style w:type="paragraph" w:styleId="Footer">
    <w:name w:val="footer"/>
    <w:basedOn w:val="Normal"/>
    <w:link w:val="FooterChar"/>
    <w:uiPriority w:val="99"/>
    <w:unhideWhenUsed/>
    <w:rsid w:val="00404BB1"/>
    <w:pPr>
      <w:tabs>
        <w:tab w:val="center" w:pos="4513"/>
        <w:tab w:val="right" w:pos="9026"/>
      </w:tabs>
      <w:spacing w:line="240" w:lineRule="auto"/>
    </w:pPr>
  </w:style>
  <w:style w:type="character" w:customStyle="1" w:styleId="FooterChar">
    <w:name w:val="Footer Char"/>
    <w:basedOn w:val="DefaultParagraphFont"/>
    <w:link w:val="Footer"/>
    <w:uiPriority w:val="99"/>
    <w:rsid w:val="00404BB1"/>
    <w:rPr>
      <w:lang w:val="en-US"/>
    </w:rPr>
  </w:style>
  <w:style w:type="paragraph" w:styleId="ListParagraph">
    <w:name w:val="List Paragraph"/>
    <w:basedOn w:val="Normal"/>
    <w:uiPriority w:val="34"/>
    <w:qFormat/>
    <w:rsid w:val="006413F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9</cp:revision>
  <dcterms:created xsi:type="dcterms:W3CDTF">2020-07-19T07:24:00Z</dcterms:created>
  <dcterms:modified xsi:type="dcterms:W3CDTF">2020-07-19T08:26:00Z</dcterms:modified>
</cp:coreProperties>
</file>